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5DC1" w:rsidRDefault="005A014B" w:rsidP="005A014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50" cy="9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4B" w:rsidRPr="005A014B" w:rsidRDefault="005A014B" w:rsidP="005A014B">
      <w:pPr>
        <w:rPr>
          <w:b/>
        </w:rPr>
      </w:pPr>
      <w:r w:rsidRPr="00CA4CED">
        <w:rPr>
          <w:b/>
          <w:color w:val="0070C0"/>
        </w:rPr>
        <w:t>DRAFT</w:t>
      </w:r>
      <w:r w:rsidRPr="005A014B">
        <w:rPr>
          <w:b/>
        </w:rPr>
        <w:t xml:space="preserve"> PROPOSAL:</w:t>
      </w:r>
      <w:bookmarkStart w:id="0" w:name="_GoBack"/>
      <w:bookmarkEnd w:id="0"/>
    </w:p>
    <w:p w:rsidR="005A014B" w:rsidRDefault="005A014B" w:rsidP="00F872D9">
      <w:pPr>
        <w:pStyle w:val="ListParagraph"/>
        <w:numPr>
          <w:ilvl w:val="0"/>
          <w:numId w:val="2"/>
        </w:numPr>
      </w:pPr>
      <w:r>
        <w:t>One third of the school population equates to 87 pupils</w:t>
      </w:r>
    </w:p>
    <w:p w:rsidR="005A014B" w:rsidRDefault="005A014B" w:rsidP="00F872D9">
      <w:pPr>
        <w:pStyle w:val="ListParagraph"/>
        <w:numPr>
          <w:ilvl w:val="0"/>
          <w:numId w:val="2"/>
        </w:numPr>
      </w:pPr>
      <w:r>
        <w:t>Responses to on-line survey and telephone contacts confirms 147 attending, 52 not, 24 families have yet to return contact calls.</w:t>
      </w:r>
      <w:r w:rsidR="00B94C12">
        <w:t xml:space="preserve"> </w:t>
      </w:r>
    </w:p>
    <w:p w:rsidR="005A014B" w:rsidRDefault="005A014B" w:rsidP="00F872D9">
      <w:pPr>
        <w:pStyle w:val="ListParagraph"/>
        <w:numPr>
          <w:ilvl w:val="0"/>
          <w:numId w:val="2"/>
        </w:numPr>
      </w:pPr>
      <w:r>
        <w:t>In line with both WG guidance and LA advice, school provision will be for Reception to Year 6 only.</w:t>
      </w:r>
    </w:p>
    <w:p w:rsidR="005A014B" w:rsidRDefault="004A0B69" w:rsidP="00F872D9">
      <w:pPr>
        <w:pStyle w:val="ListParagraph"/>
        <w:numPr>
          <w:ilvl w:val="0"/>
          <w:numId w:val="2"/>
        </w:numPr>
      </w:pPr>
      <w:r>
        <w:t>C</w:t>
      </w:r>
      <w:r w:rsidR="005A014B">
        <w:t>lassrooms can accommodate a maximum of 8 pupils</w:t>
      </w:r>
      <w:r>
        <w:t>, the double demountable lower Foundation Phase block could accommodate 10.</w:t>
      </w:r>
    </w:p>
    <w:p w:rsidR="00F872D9" w:rsidRDefault="00F872D9" w:rsidP="00F872D9">
      <w:pPr>
        <w:pStyle w:val="ListParagraph"/>
        <w:numPr>
          <w:ilvl w:val="0"/>
          <w:numId w:val="2"/>
        </w:numPr>
      </w:pPr>
      <w:r>
        <w:t>Each class bubble to be staffed by the class teacher and one member of support staff. No other staff to access other bubbles.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 xml:space="preserve">Monday – Thursday all pupils allocated one full school day with their class </w:t>
      </w:r>
      <w:r w:rsidR="00F872D9">
        <w:t xml:space="preserve">teacher within their </w:t>
      </w:r>
      <w:r>
        <w:t>class</w:t>
      </w:r>
      <w:r w:rsidR="00F872D9">
        <w:t xml:space="preserve"> bubble</w:t>
      </w:r>
      <w:r>
        <w:t xml:space="preserve"> and access to the designated outdoor space adjacent to their classroom.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>All pupils access 4 full days in total.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>Pupils placed in sibling groups and allocated the same day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>As far as is possible friendship groups considered but class teacher discretion is key to grouping decisions.</w:t>
      </w:r>
    </w:p>
    <w:p w:rsidR="00F872D9" w:rsidRDefault="00F872D9" w:rsidP="00F872D9">
      <w:pPr>
        <w:pStyle w:val="ListParagraph"/>
        <w:numPr>
          <w:ilvl w:val="0"/>
          <w:numId w:val="2"/>
        </w:numPr>
      </w:pPr>
      <w:proofErr w:type="gramStart"/>
      <w:r>
        <w:t xml:space="preserve">Pupils  </w:t>
      </w:r>
      <w:proofErr w:type="spellStart"/>
      <w:r>
        <w:t>Yr</w:t>
      </w:r>
      <w:proofErr w:type="spellEnd"/>
      <w:proofErr w:type="gramEnd"/>
      <w:r>
        <w:t xml:space="preserve"> 1 -6 to be provided with a pencil case containing their name and equipment they will need.</w:t>
      </w:r>
    </w:p>
    <w:p w:rsidR="00F872D9" w:rsidRDefault="00F872D9" w:rsidP="00F872D9">
      <w:pPr>
        <w:pStyle w:val="ListParagraph"/>
        <w:numPr>
          <w:ilvl w:val="0"/>
          <w:numId w:val="2"/>
        </w:numPr>
      </w:pPr>
      <w:r>
        <w:t>Lunch to be eaten in the classroom, support staff and caretaker to cle</w:t>
      </w:r>
      <w:r w:rsidR="0037161E">
        <w:t xml:space="preserve">an surfaces with anti-bac spray. Grab and go lunch bags to be delivered to class bubbles. </w:t>
      </w:r>
    </w:p>
    <w:p w:rsidR="0037161E" w:rsidRDefault="0037161E" w:rsidP="0037161E">
      <w:pPr>
        <w:pStyle w:val="ListParagraph"/>
        <w:numPr>
          <w:ilvl w:val="0"/>
          <w:numId w:val="2"/>
        </w:numPr>
      </w:pPr>
      <w:r>
        <w:t xml:space="preserve">Pupils to be provided with individual </w:t>
      </w:r>
      <w:proofErr w:type="spellStart"/>
      <w:proofErr w:type="gramStart"/>
      <w:r>
        <w:t>pvc</w:t>
      </w:r>
      <w:proofErr w:type="spellEnd"/>
      <w:proofErr w:type="gramEnd"/>
      <w:r>
        <w:t xml:space="preserve"> container for lunch boxes brought from home – to be cleaned and disinfected at end of day. All waste from home lunches to return home in own boxes.</w:t>
      </w:r>
    </w:p>
    <w:p w:rsidR="00F872D9" w:rsidRDefault="00F872D9" w:rsidP="00F872D9">
      <w:pPr>
        <w:pStyle w:val="ListParagraph"/>
        <w:numPr>
          <w:ilvl w:val="0"/>
          <w:numId w:val="2"/>
        </w:numPr>
      </w:pPr>
      <w:r>
        <w:t>All classrooms to contain two foot pedal  waste bins – recycling and general waste</w:t>
      </w:r>
    </w:p>
    <w:p w:rsidR="0037161E" w:rsidRDefault="0037161E" w:rsidP="0037161E">
      <w:pPr>
        <w:pStyle w:val="ListParagraph"/>
        <w:numPr>
          <w:ilvl w:val="0"/>
          <w:numId w:val="2"/>
        </w:numPr>
      </w:pPr>
      <w:r>
        <w:t>Attendance and lunch numbers recorded on form secured to class/bubble door facing internal corridor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 xml:space="preserve">Year 5 &amp; 6 will access Sex and relationships module – families who have chosen not to </w:t>
      </w:r>
      <w:r w:rsidR="00F872D9">
        <w:t>return their children to school to be provided with the materials and the opportunity to meet virtually or socially distanced in school to share these</w:t>
      </w:r>
    </w:p>
    <w:p w:rsidR="00B5535B" w:rsidRDefault="00B5535B" w:rsidP="00F872D9">
      <w:pPr>
        <w:pStyle w:val="ListParagraph"/>
        <w:numPr>
          <w:ilvl w:val="0"/>
          <w:numId w:val="2"/>
        </w:numPr>
      </w:pPr>
      <w:r>
        <w:t xml:space="preserve">IT suite to be timetabled for development of skills necessary to support on-line learning activities. Class </w:t>
      </w:r>
      <w:proofErr w:type="spellStart"/>
      <w:r>
        <w:t>i</w:t>
      </w:r>
      <w:proofErr w:type="spellEnd"/>
      <w:r>
        <w:t>-pads to be made available as usual.</w:t>
      </w:r>
    </w:p>
    <w:p w:rsidR="0037161E" w:rsidRDefault="00B5535B" w:rsidP="005A014B">
      <w:pPr>
        <w:pStyle w:val="ListParagraph"/>
        <w:numPr>
          <w:ilvl w:val="0"/>
          <w:numId w:val="2"/>
        </w:numPr>
      </w:pPr>
      <w:r>
        <w:t xml:space="preserve">All staff on premises Friday for developing and responding to on-line learning materials and </w:t>
      </w:r>
      <w:r>
        <w:t xml:space="preserve">development of skills </w:t>
      </w:r>
      <w:r>
        <w:t xml:space="preserve">necessary to support on-line </w:t>
      </w:r>
      <w:r>
        <w:t>activities</w:t>
      </w:r>
      <w:r>
        <w:t xml:space="preserve"> (CPD and non-contact time)</w:t>
      </w:r>
    </w:p>
    <w:p w:rsidR="0037161E" w:rsidRDefault="00F872D9" w:rsidP="005A014B">
      <w:pPr>
        <w:pStyle w:val="ListParagraph"/>
        <w:numPr>
          <w:ilvl w:val="0"/>
          <w:numId w:val="2"/>
        </w:numPr>
      </w:pPr>
      <w:r>
        <w:t>Site manager to cover cleaning and opening of Hub 7.45 – 10.30</w:t>
      </w:r>
    </w:p>
    <w:p w:rsidR="004A0B69" w:rsidRDefault="00F872D9" w:rsidP="005A014B">
      <w:pPr>
        <w:pStyle w:val="ListParagraph"/>
        <w:numPr>
          <w:ilvl w:val="0"/>
          <w:numId w:val="2"/>
        </w:numPr>
      </w:pPr>
      <w:r>
        <w:t>Caretakers hours amended to ensure thorough cleaning of toilets and frequently used areas 10.30-6.00. To include deep clean of Hub at close of day</w:t>
      </w:r>
    </w:p>
    <w:p w:rsidR="005A014B" w:rsidRDefault="005A014B" w:rsidP="005A014B">
      <w:r w:rsidRPr="005A014B">
        <w:rPr>
          <w:b/>
        </w:rPr>
        <w:t>HUB:</w:t>
      </w:r>
    </w:p>
    <w:p w:rsidR="005A014B" w:rsidRDefault="005A014B" w:rsidP="005A014B">
      <w:r>
        <w:t>School hub nomi</w:t>
      </w:r>
      <w:r w:rsidR="004A0B69">
        <w:t>nal 10% of our one third capacity</w:t>
      </w:r>
      <w:r>
        <w:t xml:space="preserve"> but given the indicated numbers of pupils returning, there is wriggle room to use our own discretion to exceed this in extenuating circumstances.</w:t>
      </w:r>
    </w:p>
    <w:p w:rsidR="005A014B" w:rsidRDefault="005A014B" w:rsidP="005A014B">
      <w:pPr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RCT guidance:</w:t>
      </w:r>
    </w:p>
    <w:p w:rsidR="005A014B" w:rsidRPr="005A014B" w:rsidRDefault="005A014B" w:rsidP="005A014B">
      <w:pPr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C</w:t>
      </w:r>
      <w:r w:rsidRPr="003350F5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hildcare applications for vulnerable learners and essential workers at 10% of school capacity at primary level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Where demand for childcare places exceeds supply, prioritisation will be as follows from the 29.6.20</w:t>
      </w:r>
      <w:r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: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proofErr w:type="gramStart"/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lastRenderedPageBreak/>
        <w:t>1.All</w:t>
      </w:r>
      <w:proofErr w:type="gramEnd"/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 xml:space="preserve"> vulnerable learners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   Children on the child protection register;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   Children in need of care and support with an allocated social worker;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   Looked after children;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   Young carers;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   Children on the edge of care;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  <w:lang w:eastAsia="en-GB"/>
        </w:rPr>
        <w:t>    Children with additional learning needs/disabilities.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2. Essential workers in health and social care;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3. Essential workers in education and childcare;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4. Key public services;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5. Local and national government;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6. Public safety and national security;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7. Food and other necessary goods;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2F5496" w:themeColor="accent5" w:themeShade="BF"/>
          <w:lang w:eastAsia="en-GB"/>
        </w:rPr>
      </w:pPr>
      <w:r w:rsidRPr="005A014B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eastAsia="en-GB"/>
        </w:rPr>
        <w:t>8. Transport; and Utilities, communication and financial services.</w:t>
      </w:r>
    </w:p>
    <w:p w:rsidR="005A014B" w:rsidRPr="005A014B" w:rsidRDefault="005A014B" w:rsidP="005A014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5A014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5A014B" w:rsidRDefault="005A014B" w:rsidP="005A014B">
      <w:pPr>
        <w:spacing w:after="0" w:line="240" w:lineRule="auto"/>
        <w:rPr>
          <w:rFonts w:ascii="Calibri" w:eastAsia="Times New Roman" w:hAnsi="Calibri" w:cs="Calibri"/>
          <w:i/>
          <w:color w:val="002060"/>
          <w:sz w:val="24"/>
          <w:szCs w:val="24"/>
          <w:lang w:eastAsia="en-GB"/>
        </w:rPr>
      </w:pPr>
      <w:r w:rsidRPr="005A014B">
        <w:rPr>
          <w:rFonts w:ascii="Calibri" w:eastAsia="Times New Roman" w:hAnsi="Calibri" w:cs="Calibri"/>
          <w:i/>
          <w:color w:val="002060"/>
          <w:sz w:val="24"/>
          <w:szCs w:val="24"/>
          <w:lang w:eastAsia="en-GB"/>
        </w:rPr>
        <w:t>Childcare in school settings will continue to apply for 3-14 year olds in mainstream schools, and will therefore be accessible to nurs</w:t>
      </w:r>
      <w:r w:rsidR="00CA4CED">
        <w:rPr>
          <w:rFonts w:ascii="Calibri" w:eastAsia="Times New Roman" w:hAnsi="Calibri" w:cs="Calibri"/>
          <w:i/>
          <w:color w:val="002060"/>
          <w:sz w:val="24"/>
          <w:szCs w:val="24"/>
          <w:lang w:eastAsia="en-GB"/>
        </w:rPr>
        <w:t xml:space="preserve">ery aged learners. Please note </w:t>
      </w:r>
      <w:r w:rsidRPr="005A014B">
        <w:rPr>
          <w:rFonts w:ascii="Calibri" w:eastAsia="Times New Roman" w:hAnsi="Calibri" w:cs="Calibri"/>
          <w:i/>
          <w:color w:val="002060"/>
          <w:sz w:val="24"/>
          <w:szCs w:val="24"/>
          <w:lang w:eastAsia="en-GB"/>
        </w:rPr>
        <w:t>that </w:t>
      </w:r>
      <w:r w:rsidRPr="005A014B">
        <w:rPr>
          <w:rFonts w:ascii="Calibri" w:eastAsia="Times New Roman" w:hAnsi="Calibri" w:cs="Calibri"/>
          <w:bCs/>
          <w:i/>
          <w:color w:val="002060"/>
          <w:sz w:val="24"/>
          <w:szCs w:val="24"/>
          <w:lang w:eastAsia="en-GB"/>
        </w:rPr>
        <w:t>school </w:t>
      </w:r>
      <w:r w:rsidRPr="005A014B">
        <w:rPr>
          <w:rFonts w:ascii="Calibri" w:eastAsia="Times New Roman" w:hAnsi="Calibri" w:cs="Calibri"/>
          <w:i/>
          <w:color w:val="002060"/>
          <w:sz w:val="24"/>
          <w:szCs w:val="24"/>
          <w:lang w:eastAsia="en-GB"/>
        </w:rPr>
        <w:t>provision will be from Reception to year 13 only.</w:t>
      </w:r>
    </w:p>
    <w:p w:rsidR="00B94C12" w:rsidRPr="005A014B" w:rsidRDefault="00B94C12" w:rsidP="005A014B">
      <w:pPr>
        <w:spacing w:after="0" w:line="240" w:lineRule="auto"/>
        <w:rPr>
          <w:rFonts w:ascii="Calibri" w:eastAsia="Times New Roman" w:hAnsi="Calibri" w:cs="Calibri"/>
          <w:i/>
          <w:color w:val="002060"/>
          <w:lang w:eastAsia="en-GB"/>
        </w:rPr>
      </w:pPr>
    </w:p>
    <w:p w:rsidR="00B94C12" w:rsidRDefault="00B94C12" w:rsidP="00B94C12">
      <w:r>
        <w:t>Hub will operate between 8am and 5pm weekdays only. Hub Team Leader and support staff to provide agreed activities on rota. Outdoor experiences to be the basis of these – community garden space.</w:t>
      </w:r>
    </w:p>
    <w:p w:rsidR="00B94C12" w:rsidRDefault="00B94C12" w:rsidP="00B94C12">
      <w:r>
        <w:t>Pupils may only access their class teacher session on allocated day: 4 days Hub, one day with class bubble of 8 pupils</w:t>
      </w:r>
    </w:p>
    <w:p w:rsidR="00B94C12" w:rsidRPr="00B94C12" w:rsidRDefault="00B94C12" w:rsidP="00B94C12">
      <w:r>
        <w:t xml:space="preserve">Junior pupils in the school </w:t>
      </w:r>
      <w:r>
        <w:t>Hall,</w:t>
      </w:r>
      <w:r>
        <w:t xml:space="preserve"> Foundation Phase in classroom adjacent to FP toilet block. Designated access and exit points along one way system, designated outdoor play zones</w:t>
      </w:r>
    </w:p>
    <w:p w:rsidR="0037161E" w:rsidRDefault="0037161E" w:rsidP="005A014B">
      <w:pPr>
        <w:rPr>
          <w:b/>
        </w:rPr>
      </w:pPr>
    </w:p>
    <w:p w:rsidR="0037161E" w:rsidRPr="0037161E" w:rsidRDefault="0037161E" w:rsidP="005A014B">
      <w:pPr>
        <w:rPr>
          <w:b/>
        </w:rPr>
      </w:pPr>
      <w:r w:rsidRPr="0037161E">
        <w:rPr>
          <w:b/>
        </w:rPr>
        <w:t>GENERAL:</w:t>
      </w:r>
    </w:p>
    <w:p w:rsidR="0037161E" w:rsidRDefault="0037161E" w:rsidP="005A014B">
      <w:r>
        <w:t xml:space="preserve">One way system demarcated </w:t>
      </w:r>
      <w:proofErr w:type="gramStart"/>
      <w:r>
        <w:t>to</w:t>
      </w:r>
      <w:proofErr w:type="gramEnd"/>
      <w:r>
        <w:t xml:space="preserve"> clearly to facilitate access via main pupil entrance and exit via side gate to William street</w:t>
      </w:r>
    </w:p>
    <w:p w:rsidR="00CA4CED" w:rsidRDefault="00CA4CED" w:rsidP="005A014B">
      <w:r>
        <w:t>Social distancing signs and reminders in each bubble, staff to model social distancing for pupils – trying their very best to invent fun activities / strategies for greetings, celebrating successes, giving virtual hugs etc.</w:t>
      </w:r>
    </w:p>
    <w:p w:rsidR="0037161E" w:rsidRDefault="0037161E" w:rsidP="005A014B">
      <w:r>
        <w:t>No visitors or deliveries during school day</w:t>
      </w:r>
    </w:p>
    <w:p w:rsidR="0037161E" w:rsidRDefault="0037161E" w:rsidP="005A014B">
      <w:r>
        <w:t>Parental requests via telephone call in the first instance</w:t>
      </w:r>
    </w:p>
    <w:p w:rsidR="0037161E" w:rsidRDefault="0037161E" w:rsidP="005A014B">
      <w:r>
        <w:t xml:space="preserve">Max 2 </w:t>
      </w:r>
      <w:proofErr w:type="gramStart"/>
      <w:r>
        <w:t>members</w:t>
      </w:r>
      <w:proofErr w:type="gramEnd"/>
      <w:r>
        <w:t xml:space="preserve"> admin staff to access main office</w:t>
      </w:r>
    </w:p>
    <w:p w:rsidR="0037161E" w:rsidRDefault="0037161E" w:rsidP="005A014B">
      <w:r>
        <w:t>PPA room to operate as isolation space and equipped with appropriate PPE</w:t>
      </w:r>
    </w:p>
    <w:p w:rsidR="0037161E" w:rsidRDefault="0037161E" w:rsidP="005A014B">
      <w:r>
        <w:t>Each class bubble equipped with gloves, visors, aprons</w:t>
      </w:r>
      <w:r w:rsidR="00CA4CED">
        <w:t>, first aid and staff trained in use of these</w:t>
      </w:r>
    </w:p>
    <w:p w:rsidR="00CA4CED" w:rsidRDefault="00CA4CED" w:rsidP="005A014B">
      <w:r>
        <w:t>Maximum 4 staff members in each of 2 staffrooms, rota for staff relaxation time.</w:t>
      </w:r>
    </w:p>
    <w:p w:rsidR="00CA4CED" w:rsidRDefault="00CA4CED" w:rsidP="005A014B">
      <w:r>
        <w:t xml:space="preserve">No preparation of food in class bubbles or staffrooms. </w:t>
      </w:r>
    </w:p>
    <w:p w:rsidR="0037161E" w:rsidRDefault="0037161E" w:rsidP="005A014B"/>
    <w:p w:rsidR="00CA4CED" w:rsidRDefault="00CA4CED" w:rsidP="005A0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C7AD" wp14:editId="6BB43C3E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CED" w:rsidRPr="00CA4CED" w:rsidRDefault="00CA4CED" w:rsidP="00CA4CED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CED">
                              <w:rPr>
                                <w:rFonts w:ascii="Lucida Calligraphy" w:hAnsi="Lucida Calligraphy"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CA4CED">
                              <w:rPr>
                                <w:rStyle w:val="IntenseEmphasis"/>
                              </w:rPr>
                              <w:t xml:space="preserve">Helping each other to succeed – </w:t>
                            </w:r>
                            <w:proofErr w:type="spellStart"/>
                            <w:r w:rsidRPr="00CA4CED">
                              <w:rPr>
                                <w:rStyle w:val="IntenseEmphasis"/>
                              </w:rPr>
                              <w:t>Helpu’n</w:t>
                            </w:r>
                            <w:proofErr w:type="spellEnd"/>
                            <w:r w:rsidRPr="00CA4CED">
                              <w:rPr>
                                <w:rStyle w:val="IntenseEmphasis"/>
                              </w:rPr>
                              <w:t xml:space="preserve"> </w:t>
                            </w:r>
                            <w:proofErr w:type="spellStart"/>
                            <w:r w:rsidRPr="00CA4CED">
                              <w:rPr>
                                <w:rStyle w:val="IntenseEmphasis"/>
                              </w:rPr>
                              <w:t>gilydd</w:t>
                            </w:r>
                            <w:proofErr w:type="spellEnd"/>
                            <w:r w:rsidRPr="00CA4CED">
                              <w:rPr>
                                <w:rStyle w:val="IntenseEmphasis"/>
                              </w:rPr>
                              <w:t xml:space="preserve"> I </w:t>
                            </w:r>
                            <w:proofErr w:type="spellStart"/>
                            <w:r w:rsidRPr="00CA4CED">
                              <w:rPr>
                                <w:rStyle w:val="IntenseEmphasis"/>
                              </w:rPr>
                              <w:t>lwyddo</w:t>
                            </w:r>
                            <w:proofErr w:type="spellEnd"/>
                            <w:r w:rsidRPr="00CA4CED">
                              <w:rPr>
                                <w:rStyle w:val="IntenseEmphasis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7C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Bkh3kT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CA4CED" w:rsidRPr="00CA4CED" w:rsidRDefault="00CA4CED" w:rsidP="00CA4CED">
                      <w:pPr>
                        <w:jc w:val="center"/>
                        <w:rPr>
                          <w:rFonts w:ascii="Lucida Calligraphy" w:hAnsi="Lucida Calligraphy"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CED">
                        <w:rPr>
                          <w:rFonts w:ascii="Lucida Calligraphy" w:hAnsi="Lucida Calligraphy"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CA4CED">
                        <w:rPr>
                          <w:rStyle w:val="IntenseEmphasis"/>
                        </w:rPr>
                        <w:t xml:space="preserve">Helping each other to succeed – </w:t>
                      </w:r>
                      <w:proofErr w:type="spellStart"/>
                      <w:r w:rsidRPr="00CA4CED">
                        <w:rPr>
                          <w:rStyle w:val="IntenseEmphasis"/>
                        </w:rPr>
                        <w:t>Helpu’n</w:t>
                      </w:r>
                      <w:proofErr w:type="spellEnd"/>
                      <w:r w:rsidRPr="00CA4CED">
                        <w:rPr>
                          <w:rStyle w:val="IntenseEmphasis"/>
                        </w:rPr>
                        <w:t xml:space="preserve"> </w:t>
                      </w:r>
                      <w:proofErr w:type="spellStart"/>
                      <w:r w:rsidRPr="00CA4CED">
                        <w:rPr>
                          <w:rStyle w:val="IntenseEmphasis"/>
                        </w:rPr>
                        <w:t>gilydd</w:t>
                      </w:r>
                      <w:proofErr w:type="spellEnd"/>
                      <w:r w:rsidRPr="00CA4CED">
                        <w:rPr>
                          <w:rStyle w:val="IntenseEmphasis"/>
                        </w:rPr>
                        <w:t xml:space="preserve"> I </w:t>
                      </w:r>
                      <w:proofErr w:type="spellStart"/>
                      <w:r w:rsidRPr="00CA4CED">
                        <w:rPr>
                          <w:rStyle w:val="IntenseEmphasis"/>
                        </w:rPr>
                        <w:t>lwyddo</w:t>
                      </w:r>
                      <w:proofErr w:type="spellEnd"/>
                      <w:r w:rsidRPr="00CA4CED">
                        <w:rPr>
                          <w:rStyle w:val="IntenseEmphasis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4CED" w:rsidSect="00CA4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47C2"/>
    <w:multiLevelType w:val="hybridMultilevel"/>
    <w:tmpl w:val="3754E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5EC9"/>
    <w:multiLevelType w:val="hybridMultilevel"/>
    <w:tmpl w:val="921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4B"/>
    <w:rsid w:val="0037161E"/>
    <w:rsid w:val="004A0B69"/>
    <w:rsid w:val="005A014B"/>
    <w:rsid w:val="007F12CE"/>
    <w:rsid w:val="00975DC1"/>
    <w:rsid w:val="00B5535B"/>
    <w:rsid w:val="00B94C12"/>
    <w:rsid w:val="00CA4CED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."/>
  <w:listSeparator w:val=","/>
  <w14:docId w14:val="5ECEACA5"/>
  <w15:chartTrackingRefBased/>
  <w15:docId w15:val="{71D85141-A8E8-45E2-AD41-D6376BD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4B"/>
  </w:style>
  <w:style w:type="paragraph" w:styleId="Heading1">
    <w:name w:val="heading 1"/>
    <w:basedOn w:val="Normal"/>
    <w:next w:val="Normal"/>
    <w:link w:val="Heading1Char"/>
    <w:uiPriority w:val="9"/>
    <w:qFormat/>
    <w:rsid w:val="005A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1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1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1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1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1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1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1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1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1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1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1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1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01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1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1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1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A014B"/>
    <w:rPr>
      <w:b/>
      <w:bCs/>
    </w:rPr>
  </w:style>
  <w:style w:type="character" w:styleId="Emphasis">
    <w:name w:val="Emphasis"/>
    <w:basedOn w:val="DefaultParagraphFont"/>
    <w:uiPriority w:val="20"/>
    <w:qFormat/>
    <w:rsid w:val="005A014B"/>
    <w:rPr>
      <w:i/>
      <w:iCs/>
    </w:rPr>
  </w:style>
  <w:style w:type="paragraph" w:styleId="NoSpacing">
    <w:name w:val="No Spacing"/>
    <w:uiPriority w:val="1"/>
    <w:qFormat/>
    <w:rsid w:val="005A01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01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1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1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14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A01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014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A014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A014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01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14B"/>
    <w:pPr>
      <w:outlineLvl w:val="9"/>
    </w:pPr>
  </w:style>
  <w:style w:type="paragraph" w:styleId="ListParagraph">
    <w:name w:val="List Paragraph"/>
    <w:basedOn w:val="Normal"/>
    <w:uiPriority w:val="34"/>
    <w:qFormat/>
    <w:rsid w:val="00F8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2020-06-17T09:47:00Z</dcterms:created>
  <dcterms:modified xsi:type="dcterms:W3CDTF">2020-06-17T09:47:00Z</dcterms:modified>
</cp:coreProperties>
</file>