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ccf17039ff942e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8EB66" w14:textId="77777777" w:rsidR="00737B00" w:rsidRDefault="00C617E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Equality Impact Assessment Plan – Subject Level</w:t>
      </w:r>
    </w:p>
    <w:p w14:paraId="4C5B88DD" w14:textId="77777777" w:rsidR="00737B00" w:rsidRDefault="00C617EF">
      <w:r>
        <w:rPr>
          <w:b/>
        </w:rPr>
        <w:t>Subject: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Qualification:</w:t>
      </w:r>
      <w:r>
        <w:t xml:space="preserve"> GCSE / AS / A2</w:t>
      </w:r>
    </w:p>
    <w:p w14:paraId="6E9E53D5" w14:textId="77777777" w:rsidR="00737B00" w:rsidRDefault="00C617EF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FA28" wp14:editId="253DB3B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571A4C" id="Rectangle 1" o:spid="_x0000_s1026" style="position:absolute;margin-left:0;margin-top:.75pt;width:13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I have read and understood information from the training about equality and the impact of coronavirus on equality and human rights and on bias / unintentional bias</w:t>
      </w:r>
    </w:p>
    <w:p w14:paraId="4B031282" w14:textId="77777777" w:rsidR="00737B00" w:rsidRDefault="00C617EF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2004" wp14:editId="6A4A28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B5844B" id="Rectangle 2" o:spid="_x0000_s1026" style="position:absolute;margin-left:0;margin-top:.75pt;width:13.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lVkwIAAIM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BF0CD" wp14:editId="7721C861">
                <wp:simplePos x="0" y="0"/>
                <wp:positionH relativeFrom="margin">
                  <wp:posOffset>9525</wp:posOffset>
                </wp:positionH>
                <wp:positionV relativeFrom="paragraph">
                  <wp:posOffset>273685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B71217" id="Rectangle 3" o:spid="_x0000_s1026" style="position:absolute;margin-left:.75pt;margin-top:21.55pt;width:13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N0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I am aware of the historical performance of students with protected characteristics in the school</w:t>
      </w:r>
    </w:p>
    <w:p w14:paraId="4FE9D014" w14:textId="77777777" w:rsidR="00737B00" w:rsidRDefault="00C617EF">
      <w:pPr>
        <w:rPr>
          <w:sz w:val="20"/>
          <w:szCs w:val="20"/>
        </w:rPr>
      </w:pPr>
      <w:r>
        <w:rPr>
          <w:sz w:val="20"/>
          <w:szCs w:val="20"/>
        </w:rPr>
        <w:t xml:space="preserve">         I am aware of the students who have protected characteristics in my subject area and of their engagement with their learning during the course</w:t>
      </w:r>
    </w:p>
    <w:p w14:paraId="57E07AB6" w14:textId="77777777" w:rsidR="00737B00" w:rsidRDefault="00C617EF">
      <w:r>
        <w:rPr>
          <w:b/>
        </w:rPr>
        <w:t>Equality Impact Assessment of the Subject Assessment Plan</w:t>
      </w:r>
      <w:r>
        <w:t>:</w:t>
      </w:r>
    </w:p>
    <w:p w14:paraId="59D08416" w14:textId="77777777" w:rsidR="00737B00" w:rsidRDefault="00C617EF">
      <w:pPr>
        <w:rPr>
          <w:sz w:val="20"/>
          <w:szCs w:val="20"/>
        </w:rPr>
      </w:pPr>
      <w:r>
        <w:rPr>
          <w:sz w:val="20"/>
          <w:szCs w:val="20"/>
        </w:rPr>
        <w:t>(The following protected characteristics do not apply to learners in school: Marriage and civil partnership; Pregnancy and maternity.)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987"/>
        <w:gridCol w:w="4904"/>
        <w:gridCol w:w="1955"/>
        <w:gridCol w:w="1837"/>
      </w:tblGrid>
      <w:tr w:rsidR="00432E15" w14:paraId="17AEBE6C" w14:textId="77777777" w:rsidTr="00432E15">
        <w:tc>
          <w:tcPr>
            <w:tcW w:w="1705" w:type="dxa"/>
          </w:tcPr>
          <w:p w14:paraId="2F683661" w14:textId="77777777" w:rsidR="00432E15" w:rsidRDefault="00432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of students</w:t>
            </w:r>
          </w:p>
        </w:tc>
        <w:tc>
          <w:tcPr>
            <w:tcW w:w="4987" w:type="dxa"/>
          </w:tcPr>
          <w:p w14:paraId="4BFB00C7" w14:textId="1B964D49" w:rsidR="00432E15" w:rsidRDefault="00432E15" w:rsidP="00432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equality impact</w:t>
            </w:r>
          </w:p>
        </w:tc>
        <w:tc>
          <w:tcPr>
            <w:tcW w:w="4904" w:type="dxa"/>
          </w:tcPr>
          <w:p w14:paraId="7759AE74" w14:textId="701FA2C3" w:rsidR="00432E15" w:rsidRDefault="00432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Mitigating action to advance equality of opportunity or eliminate discrimination</w:t>
            </w:r>
          </w:p>
        </w:tc>
        <w:tc>
          <w:tcPr>
            <w:tcW w:w="1955" w:type="dxa"/>
          </w:tcPr>
          <w:p w14:paraId="46868204" w14:textId="08B40A5B" w:rsidR="00432E15" w:rsidRDefault="00432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Owner</w:t>
            </w:r>
          </w:p>
        </w:tc>
        <w:tc>
          <w:tcPr>
            <w:tcW w:w="1837" w:type="dxa"/>
          </w:tcPr>
          <w:p w14:paraId="3136A041" w14:textId="01BB03E8" w:rsidR="00432E15" w:rsidRDefault="00432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</w:t>
            </w:r>
            <w:r w:rsidR="005A201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432E15" w14:paraId="32B5FDB8" w14:textId="77777777" w:rsidTr="00432E15">
        <w:tc>
          <w:tcPr>
            <w:tcW w:w="1705" w:type="dxa"/>
          </w:tcPr>
          <w:p w14:paraId="25CC02C9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1846" w:type="dxa"/>
            <w:gridSpan w:val="3"/>
          </w:tcPr>
          <w:p w14:paraId="1E93B2C9" w14:textId="7DFDEDBE" w:rsidR="00432E15" w:rsidRDefault="00AD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an exception to the Equality Act 2010 relating to age in relation to the provision of education in schools.</w:t>
            </w:r>
          </w:p>
        </w:tc>
        <w:tc>
          <w:tcPr>
            <w:tcW w:w="1837" w:type="dxa"/>
          </w:tcPr>
          <w:p w14:paraId="233E93BA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394F09D3" w14:textId="77777777" w:rsidTr="00432E15">
        <w:tc>
          <w:tcPr>
            <w:tcW w:w="1705" w:type="dxa"/>
          </w:tcPr>
          <w:p w14:paraId="0AD349B3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</w:tc>
        <w:tc>
          <w:tcPr>
            <w:tcW w:w="4987" w:type="dxa"/>
          </w:tcPr>
          <w:p w14:paraId="66BF00F0" w14:textId="77777777" w:rsidR="00432E15" w:rsidRDefault="00432E15" w:rsidP="005A201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X pupils with additional learning needs, they may have not been able to access online learning</w:t>
            </w:r>
            <w:r w:rsidR="00C34140">
              <w:rPr>
                <w:sz w:val="20"/>
                <w:szCs w:val="20"/>
              </w:rPr>
              <w:t>, their needs may have changed during lockdown and the support their receive with assessments may need to be reviewed,</w:t>
            </w:r>
          </w:p>
          <w:p w14:paraId="4893D7C5" w14:textId="77777777" w:rsidR="00432E15" w:rsidRDefault="00432E15" w:rsidP="005A201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X number of pupils with physical impairments</w:t>
            </w:r>
            <w:r w:rsidR="00C34140">
              <w:rPr>
                <w:sz w:val="20"/>
                <w:szCs w:val="20"/>
              </w:rPr>
              <w:t>, these may have changed during lockdown and may be impacted by COVID safety measures when taking assessments</w:t>
            </w:r>
            <w:r>
              <w:rPr>
                <w:sz w:val="20"/>
                <w:szCs w:val="20"/>
              </w:rPr>
              <w:t>,</w:t>
            </w:r>
          </w:p>
          <w:p w14:paraId="6AC97F93" w14:textId="77777777" w:rsidR="00432E15" w:rsidRDefault="00432E15" w:rsidP="005A201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X pupils with mental health impairments, there is a risk that these may have been </w:t>
            </w:r>
            <w:r w:rsidR="00C34140">
              <w:rPr>
                <w:sz w:val="20"/>
                <w:szCs w:val="20"/>
              </w:rPr>
              <w:t>exacerbated or that assessments may be more difficult for their impairment.</w:t>
            </w:r>
          </w:p>
          <w:p w14:paraId="4F301087" w14:textId="77777777" w:rsidR="00C34140" w:rsidRDefault="00C34140" w:rsidP="005A201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know that X number of pupils have had significant interruption to their education and had less support during lockdown – these pupils have [the following protected characteristics] and may require support before they undertake assessments. </w:t>
            </w:r>
          </w:p>
          <w:p w14:paraId="57B18BF5" w14:textId="3500E828" w:rsidR="00432E15" w:rsidRPr="005A2011" w:rsidRDefault="00432E15" w:rsidP="00C91FD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14:paraId="51531709" w14:textId="7ED71CB2" w:rsidR="00C34140" w:rsidRDefault="00C34140" w:rsidP="00C341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ALNCO</w:t>
            </w:r>
            <w:r w:rsidR="00621745">
              <w:rPr>
                <w:sz w:val="20"/>
                <w:szCs w:val="20"/>
              </w:rPr>
              <w:t xml:space="preserve"> reviewing and confirming</w:t>
            </w:r>
            <w:r w:rsidR="004F2E5C">
              <w:rPr>
                <w:sz w:val="20"/>
                <w:szCs w:val="20"/>
              </w:rPr>
              <w:t xml:space="preserve"> IEPs</w:t>
            </w:r>
            <w:r w:rsidR="00621745">
              <w:rPr>
                <w:sz w:val="20"/>
                <w:szCs w:val="20"/>
              </w:rPr>
              <w:t xml:space="preserve"> before</w:t>
            </w:r>
            <w:r>
              <w:rPr>
                <w:sz w:val="20"/>
                <w:szCs w:val="20"/>
              </w:rPr>
              <w:t xml:space="preserve"> providing</w:t>
            </w:r>
            <w:r w:rsidR="00621745">
              <w:rPr>
                <w:sz w:val="20"/>
                <w:szCs w:val="20"/>
              </w:rPr>
              <w:t xml:space="preserve"> up to date</w:t>
            </w:r>
            <w:r>
              <w:rPr>
                <w:sz w:val="20"/>
                <w:szCs w:val="20"/>
              </w:rPr>
              <w:t xml:space="preserve"> information about how these pupils can be supported upon return to school before assessments, and which a</w:t>
            </w:r>
            <w:r w:rsidR="00432E15" w:rsidRPr="005A2011">
              <w:rPr>
                <w:sz w:val="20"/>
                <w:szCs w:val="20"/>
              </w:rPr>
              <w:t xml:space="preserve">ccess arrangements </w:t>
            </w:r>
            <w:r>
              <w:rPr>
                <w:sz w:val="20"/>
                <w:szCs w:val="20"/>
              </w:rPr>
              <w:t>are needed</w:t>
            </w:r>
          </w:p>
          <w:p w14:paraId="7BA796B9" w14:textId="77777777" w:rsidR="00C34140" w:rsidRDefault="00C34140" w:rsidP="00C341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Headteacher/Governing body to carefully consider any physical adjustments needed within COVID Risk Assessments for both learning before and during assessments.</w:t>
            </w:r>
          </w:p>
          <w:p w14:paraId="674E2AF8" w14:textId="1D74D486" w:rsidR="00432E15" w:rsidRPr="005A2011" w:rsidRDefault="00432E15" w:rsidP="00C341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CD35E5C" w14:textId="2609D5E6" w:rsidR="00432E15" w:rsidRDefault="00621745" w:rsidP="00AD36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 to confirm up to date information from pupils/parents/relevant professionals about mental health impairments</w:t>
            </w:r>
            <w:r w:rsidR="00AD36CD">
              <w:rPr>
                <w:sz w:val="20"/>
                <w:szCs w:val="20"/>
              </w:rPr>
              <w:t xml:space="preserve"> and to confirm </w:t>
            </w:r>
            <w:r>
              <w:rPr>
                <w:sz w:val="20"/>
                <w:szCs w:val="20"/>
              </w:rPr>
              <w:t xml:space="preserve"> </w:t>
            </w:r>
            <w:r w:rsidR="00AD36CD" w:rsidRPr="00AD36CD">
              <w:rPr>
                <w:sz w:val="20"/>
                <w:szCs w:val="20"/>
              </w:rPr>
              <w:t xml:space="preserve">about how these pupils can be supported upon return to school </w:t>
            </w:r>
            <w:r w:rsidR="00AD36CD">
              <w:rPr>
                <w:sz w:val="20"/>
                <w:szCs w:val="20"/>
              </w:rPr>
              <w:t>before assessments, and which adjustments</w:t>
            </w:r>
            <w:r w:rsidR="00AD36CD" w:rsidRPr="00AD36CD">
              <w:rPr>
                <w:sz w:val="20"/>
                <w:szCs w:val="20"/>
              </w:rPr>
              <w:t xml:space="preserve"> are needed</w:t>
            </w:r>
            <w:r w:rsidR="00AD36CD">
              <w:rPr>
                <w:sz w:val="20"/>
                <w:szCs w:val="20"/>
              </w:rPr>
              <w:t>, including ,m</w:t>
            </w:r>
            <w:r w:rsidR="00432E15" w:rsidRPr="005A2011">
              <w:rPr>
                <w:sz w:val="20"/>
                <w:szCs w:val="20"/>
              </w:rPr>
              <w:t>odified papers available as needed</w:t>
            </w:r>
          </w:p>
          <w:p w14:paraId="13D7C957" w14:textId="77777777" w:rsidR="00AD36CD" w:rsidRPr="005A2011" w:rsidRDefault="00AD36CD" w:rsidP="00AD36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actions </w:t>
            </w:r>
          </w:p>
          <w:p w14:paraId="5825D21C" w14:textId="2CC6A37C" w:rsidR="00432E15" w:rsidRPr="005A2011" w:rsidRDefault="00432E15" w:rsidP="005A2011">
            <w:pPr>
              <w:rPr>
                <w:sz w:val="20"/>
                <w:szCs w:val="20"/>
              </w:rPr>
            </w:pPr>
            <w:r w:rsidRPr="005A2011">
              <w:rPr>
                <w:sz w:val="20"/>
                <w:szCs w:val="20"/>
              </w:rPr>
              <w:t>Range of assessments available in the plan in case students have not been able to engage well online and/or during the pandemic</w:t>
            </w:r>
            <w:r w:rsidR="005A2011">
              <w:rPr>
                <w:sz w:val="20"/>
                <w:szCs w:val="20"/>
              </w:rPr>
              <w:t xml:space="preserve">. </w:t>
            </w:r>
            <w:r w:rsidRPr="005A2011">
              <w:rPr>
                <w:sz w:val="20"/>
                <w:szCs w:val="20"/>
              </w:rPr>
              <w:t>Flexibility of assessment arrangements and environment of the assessment allow for consideration of wellbeing and will support mental health of students</w:t>
            </w:r>
          </w:p>
          <w:p w14:paraId="3DFA6AC4" w14:textId="56257153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ADEBEF0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5E4FDFF1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647A445A" w14:textId="77777777" w:rsidTr="00432E15">
        <w:tc>
          <w:tcPr>
            <w:tcW w:w="1705" w:type="dxa"/>
          </w:tcPr>
          <w:p w14:paraId="2838C55C" w14:textId="75794FDF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1846" w:type="dxa"/>
            <w:gridSpan w:val="3"/>
          </w:tcPr>
          <w:p w14:paraId="24F82EDE" w14:textId="18B414C5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602AC952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AD36CD" w14:paraId="0866891F" w14:textId="77777777" w:rsidTr="00432E15">
        <w:tc>
          <w:tcPr>
            <w:tcW w:w="1705" w:type="dxa"/>
          </w:tcPr>
          <w:p w14:paraId="419D0A4F" w14:textId="77777777" w:rsidR="00AD36CD" w:rsidRDefault="00AD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Gender reassignment</w:t>
            </w:r>
          </w:p>
        </w:tc>
        <w:tc>
          <w:tcPr>
            <w:tcW w:w="4987" w:type="dxa"/>
          </w:tcPr>
          <w:p w14:paraId="40A15BD4" w14:textId="77777777" w:rsidR="00AD36CD" w:rsidRDefault="00AD36CD" w:rsidP="00AD36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X pupils proposing</w:t>
            </w:r>
            <w:r w:rsidRPr="00AD36CD">
              <w:rPr>
                <w:sz w:val="20"/>
                <w:szCs w:val="20"/>
              </w:rPr>
              <w:t xml:space="preserve"> transition who may have difficulty returning to learning or accessing a</w:t>
            </w:r>
            <w:r>
              <w:rPr>
                <w:sz w:val="20"/>
                <w:szCs w:val="20"/>
              </w:rPr>
              <w:t>ssessments.</w:t>
            </w:r>
          </w:p>
        </w:tc>
        <w:tc>
          <w:tcPr>
            <w:tcW w:w="4904" w:type="dxa"/>
          </w:tcPr>
          <w:p w14:paraId="094CB9C6" w14:textId="77777777" w:rsidR="00AD36CD" w:rsidRDefault="00AD36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coordinator to contact pupils to discuss any adjustments or support that may be needed.</w:t>
            </w:r>
          </w:p>
        </w:tc>
        <w:tc>
          <w:tcPr>
            <w:tcW w:w="1955" w:type="dxa"/>
          </w:tcPr>
          <w:p w14:paraId="5F7F87AB" w14:textId="77777777" w:rsidR="00AD36CD" w:rsidRDefault="00AD36CD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A848170" w14:textId="77777777" w:rsidR="00AD36CD" w:rsidRDefault="00AD36CD">
            <w:pPr>
              <w:rPr>
                <w:sz w:val="20"/>
                <w:szCs w:val="20"/>
              </w:rPr>
            </w:pPr>
          </w:p>
        </w:tc>
      </w:tr>
      <w:tr w:rsidR="00432E15" w14:paraId="4CD71FB2" w14:textId="77777777" w:rsidTr="00432E15">
        <w:tc>
          <w:tcPr>
            <w:tcW w:w="1705" w:type="dxa"/>
          </w:tcPr>
          <w:p w14:paraId="60A71F29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4987" w:type="dxa"/>
          </w:tcPr>
          <w:p w14:paraId="06634AE1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BAME learners may be more vulnerable to COVID-19 and more affected by illness – less t&amp;l</w:t>
            </w:r>
          </w:p>
          <w:p w14:paraId="2A3C4B31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less time spend on remote learning</w:t>
            </w:r>
          </w:p>
          <w:p w14:paraId="661D6C24" w14:textId="071BD9F0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from home may be less for families where English is not the home language</w:t>
            </w:r>
          </w:p>
          <w:p w14:paraId="6307ED5D" w14:textId="104D8F7B" w:rsidR="00233839" w:rsidRPr="00233839" w:rsidRDefault="00C91FDD" w:rsidP="002338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Gypsy, Roma and Traveller learners</w:t>
            </w:r>
            <w:r w:rsidR="00233839">
              <w:rPr>
                <w:sz w:val="20"/>
                <w:szCs w:val="20"/>
              </w:rPr>
              <w:t xml:space="preserve"> may have disengaged, have spent less time on remote learning, have less parental support</w:t>
            </w:r>
            <w:r w:rsidR="00AA6ADF">
              <w:rPr>
                <w:sz w:val="20"/>
                <w:szCs w:val="20"/>
              </w:rPr>
              <w:t>, have less access to data and resources</w:t>
            </w:r>
          </w:p>
          <w:p w14:paraId="11CA9D03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unconscious bias in teacher assessment which may have a negative impact on BAME learners</w:t>
            </w:r>
          </w:p>
        </w:tc>
        <w:tc>
          <w:tcPr>
            <w:tcW w:w="4904" w:type="dxa"/>
          </w:tcPr>
          <w:p w14:paraId="24F64034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assessments available in the plan in case students have not been able to engage well online and/or during the pandemic</w:t>
            </w:r>
          </w:p>
          <w:p w14:paraId="1609C2A4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received by all teachers to understand and be aware of unintentional bias</w:t>
            </w:r>
          </w:p>
          <w:p w14:paraId="0F7CC674" w14:textId="77777777" w:rsidR="00432E15" w:rsidRDefault="00432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group during IQA process</w:t>
            </w:r>
          </w:p>
          <w:p w14:paraId="40D5FE72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C8F3EFE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4E707F79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323C1BC2" w14:textId="77777777" w:rsidTr="00432E15">
        <w:tc>
          <w:tcPr>
            <w:tcW w:w="1705" w:type="dxa"/>
          </w:tcPr>
          <w:p w14:paraId="73E7C83A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or belief</w:t>
            </w:r>
          </w:p>
        </w:tc>
        <w:tc>
          <w:tcPr>
            <w:tcW w:w="4987" w:type="dxa"/>
          </w:tcPr>
          <w:p w14:paraId="1DF94DBC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Evidential gaps about educational experiences of learners who share this protected characteristic. May be connected to other characteristics.</w:t>
            </w:r>
          </w:p>
          <w:p w14:paraId="0027F819" w14:textId="77777777" w:rsidR="00432E15" w:rsidRDefault="00432E1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 learners will practice Holy Month between 13 April and 12 May, likely to be fasting from dawn to dusk.</w:t>
            </w:r>
          </w:p>
        </w:tc>
        <w:tc>
          <w:tcPr>
            <w:tcW w:w="4904" w:type="dxa"/>
          </w:tcPr>
          <w:p w14:paraId="18657F8C" w14:textId="0A8628A5" w:rsidR="00432E15" w:rsidRDefault="00432E1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</w:t>
            </w:r>
            <w:r w:rsidR="00AA6AD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bility of assessment arrangements allow for consideration of wellbeing of student during fasting time</w:t>
            </w:r>
          </w:p>
          <w:p w14:paraId="08DAD4A3" w14:textId="77777777" w:rsidR="00432E15" w:rsidRDefault="00432E1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E1C2A97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299AC9CA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00DDF787" w14:textId="77777777" w:rsidTr="00432E15">
        <w:tc>
          <w:tcPr>
            <w:tcW w:w="1705" w:type="dxa"/>
          </w:tcPr>
          <w:p w14:paraId="47019EFE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4987" w:type="dxa"/>
          </w:tcPr>
          <w:p w14:paraId="243D54FC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unintended bias in teacher assessment linked to gender stereotyping</w:t>
            </w:r>
          </w:p>
          <w:p w14:paraId="5FF211CD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tend to have worked less online during the pandemic </w:t>
            </w:r>
          </w:p>
          <w:p w14:paraId="64A1BF89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lower expectation of boys, particularly if also efSM</w:t>
            </w:r>
          </w:p>
        </w:tc>
        <w:tc>
          <w:tcPr>
            <w:tcW w:w="4904" w:type="dxa"/>
          </w:tcPr>
          <w:p w14:paraId="2C3DD159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assessments available in the plan in case students have not been able to engage well online and/or during the pandemic</w:t>
            </w:r>
          </w:p>
          <w:p w14:paraId="5A95105B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received by all teachers to understand and be aware of unintentional bias</w:t>
            </w:r>
          </w:p>
          <w:p w14:paraId="23A168C6" w14:textId="77777777" w:rsidR="00432E15" w:rsidRDefault="00432E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group during IQA process</w:t>
            </w:r>
          </w:p>
        </w:tc>
        <w:tc>
          <w:tcPr>
            <w:tcW w:w="1955" w:type="dxa"/>
          </w:tcPr>
          <w:p w14:paraId="023D351F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12B9ACA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5CA9C746" w14:textId="77777777" w:rsidTr="00432E15">
        <w:tc>
          <w:tcPr>
            <w:tcW w:w="1705" w:type="dxa"/>
          </w:tcPr>
          <w:p w14:paraId="5E6DACBC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tc>
          <w:tcPr>
            <w:tcW w:w="11846" w:type="dxa"/>
            <w:gridSpan w:val="3"/>
          </w:tcPr>
          <w:p w14:paraId="308885F1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Evidential gaps about educational experiences of LGBT learners.  No impact on LGBT learners from the options analysed has been identified.</w:t>
            </w:r>
          </w:p>
        </w:tc>
        <w:tc>
          <w:tcPr>
            <w:tcW w:w="1837" w:type="dxa"/>
          </w:tcPr>
          <w:p w14:paraId="00872BD9" w14:textId="77777777" w:rsidR="00432E15" w:rsidRDefault="00432E15">
            <w:pPr>
              <w:rPr>
                <w:sz w:val="20"/>
                <w:szCs w:val="20"/>
              </w:rPr>
            </w:pPr>
          </w:p>
        </w:tc>
      </w:tr>
      <w:tr w:rsidR="00432E15" w14:paraId="02AC748C" w14:textId="77777777" w:rsidTr="00432E15">
        <w:tc>
          <w:tcPr>
            <w:tcW w:w="1705" w:type="dxa"/>
          </w:tcPr>
          <w:p w14:paraId="784E9F0B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identified group (eFSM, young carers, LAC) </w:t>
            </w:r>
          </w:p>
        </w:tc>
        <w:tc>
          <w:tcPr>
            <w:tcW w:w="4987" w:type="dxa"/>
          </w:tcPr>
          <w:p w14:paraId="7B3873C3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eFSM</w:t>
            </w:r>
          </w:p>
          <w:p w14:paraId="3FBDE8F7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barriers to online learning</w:t>
            </w:r>
          </w:p>
          <w:p w14:paraId="739F1F93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time spent at home working and less support from home</w:t>
            </w:r>
          </w:p>
          <w:p w14:paraId="3A8B2E0F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more vulnerable to COVID-19 and more affected by illness – less t&amp;l</w:t>
            </w:r>
          </w:p>
          <w:p w14:paraId="0872BF68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carers</w:t>
            </w:r>
          </w:p>
          <w:p w14:paraId="3525B6F9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barriers to online learning due to supporting at home</w:t>
            </w:r>
          </w:p>
          <w:p w14:paraId="02E93F29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time spent at home working and less support from home</w:t>
            </w:r>
          </w:p>
          <w:p w14:paraId="4928AD0F" w14:textId="77777777" w:rsidR="00432E15" w:rsidRDefault="0043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</w:t>
            </w:r>
          </w:p>
          <w:p w14:paraId="3883F5E3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Potentially more barriers to online learning due to supporting at home transitory nature of living situation and lack of continuity and support</w:t>
            </w:r>
          </w:p>
          <w:p w14:paraId="397CE35A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low expectation of group of students</w:t>
            </w:r>
          </w:p>
        </w:tc>
        <w:tc>
          <w:tcPr>
            <w:tcW w:w="4904" w:type="dxa"/>
          </w:tcPr>
          <w:p w14:paraId="072ABE07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Range of assessments available in the plan in case students have not been able to engage well online and/or during the pandemic</w:t>
            </w:r>
          </w:p>
          <w:p w14:paraId="0DC8CD37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of assessment arrangements and environment of the assessment allow for consideration of wellbeing and caring needs</w:t>
            </w:r>
          </w:p>
          <w:p w14:paraId="6B757312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received by all teachers to understand and be aware of unintentional bias</w:t>
            </w:r>
          </w:p>
          <w:p w14:paraId="13CC6D4E" w14:textId="77777777" w:rsidR="00432E15" w:rsidRDefault="00432E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group during IQA process</w:t>
            </w:r>
          </w:p>
        </w:tc>
        <w:tc>
          <w:tcPr>
            <w:tcW w:w="1955" w:type="dxa"/>
          </w:tcPr>
          <w:p w14:paraId="248A153E" w14:textId="77777777" w:rsidR="00432E15" w:rsidRDefault="00432E1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605D9F13" w14:textId="77777777" w:rsidR="00432E15" w:rsidRDefault="00432E15">
            <w:pPr>
              <w:rPr>
                <w:sz w:val="20"/>
                <w:szCs w:val="20"/>
              </w:rPr>
            </w:pPr>
          </w:p>
        </w:tc>
      </w:tr>
    </w:tbl>
    <w:p w14:paraId="2CFFCDC4" w14:textId="77777777" w:rsidR="00737B00" w:rsidRDefault="00737B00"/>
    <w:p w14:paraId="6C85A6CE" w14:textId="77777777" w:rsidR="00737B00" w:rsidRDefault="00C617EF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E5D0C11" w14:textId="77777777" w:rsidR="00737B00" w:rsidRDefault="00C617EF">
      <w:pPr>
        <w:rPr>
          <w:b/>
        </w:rPr>
      </w:pPr>
      <w:r>
        <w:rPr>
          <w:b/>
        </w:rPr>
        <w:t>Reviewed week beginning 26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</w:p>
    <w:p w14:paraId="32A4E349" w14:textId="77777777" w:rsidR="00737B00" w:rsidRDefault="00C617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11E42" wp14:editId="39C2AEE8">
                <wp:simplePos x="0" y="0"/>
                <wp:positionH relativeFrom="column">
                  <wp:posOffset>19050</wp:posOffset>
                </wp:positionH>
                <wp:positionV relativeFrom="paragraph">
                  <wp:posOffset>249555</wp:posOffset>
                </wp:positionV>
                <wp:extent cx="94202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714C4" w14:textId="77777777" w:rsidR="00737B00" w:rsidRDefault="007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111E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19.65pt;width:741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" fillcolor="white [3201]" strokeweight=".5pt">
                <v:textbox>
                  <w:txbxContent>
                    <w:p w14:paraId="405714C4" w14:textId="77777777" w:rsidR="00737B00" w:rsidRDefault="00737B00"/>
                  </w:txbxContent>
                </v:textbox>
              </v:shape>
            </w:pict>
          </mc:Fallback>
        </mc:AlternateContent>
      </w:r>
      <w:r>
        <w:t>Comments:</w:t>
      </w:r>
    </w:p>
    <w:p w14:paraId="7AB02BB3" w14:textId="77777777" w:rsidR="00737B00" w:rsidRDefault="00737B00"/>
    <w:p w14:paraId="53897D78" w14:textId="77777777" w:rsidR="00737B00" w:rsidRDefault="00737B00"/>
    <w:p w14:paraId="5C9F3FC8" w14:textId="77777777" w:rsidR="00737B00" w:rsidRDefault="00C617EF">
      <w:r>
        <w:t>Further action to take:</w:t>
      </w:r>
    </w:p>
    <w:p w14:paraId="645EB7AB" w14:textId="77777777" w:rsidR="00737B00" w:rsidRDefault="00C617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CC774" wp14:editId="713CB0C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4202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11168" w14:textId="77777777" w:rsidR="00737B00" w:rsidRDefault="007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CC774" id="Text Box 5" o:spid="_x0000_s1027" type="#_x0000_t202" style="position:absolute;margin-left:0;margin-top:.75pt;width:741.75pt;height:39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" fillcolor="white [3201]" strokeweight=".5pt">
                <v:textbox>
                  <w:txbxContent>
                    <w:p w14:paraId="79511168" w14:textId="77777777" w:rsidR="00737B00" w:rsidRDefault="00737B00"/>
                  </w:txbxContent>
                </v:textbox>
                <w10:wrap anchorx="margin"/>
              </v:shape>
            </w:pict>
          </mc:Fallback>
        </mc:AlternateContent>
      </w:r>
    </w:p>
    <w:p w14:paraId="20B8F70F" w14:textId="77777777" w:rsidR="00737B00" w:rsidRDefault="00737B00"/>
    <w:p w14:paraId="72EACF6A" w14:textId="77777777" w:rsidR="00737B00" w:rsidRDefault="00737B00"/>
    <w:p w14:paraId="352414F6" w14:textId="77777777" w:rsidR="00737B00" w:rsidRDefault="00C617EF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737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357"/>
    <w:multiLevelType w:val="hybridMultilevel"/>
    <w:tmpl w:val="648CA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15765"/>
    <w:multiLevelType w:val="hybridMultilevel"/>
    <w:tmpl w:val="F5F8C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263EA"/>
    <w:multiLevelType w:val="hybridMultilevel"/>
    <w:tmpl w:val="91B2D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E359E"/>
    <w:multiLevelType w:val="hybridMultilevel"/>
    <w:tmpl w:val="4DFC1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A861F5"/>
    <w:multiLevelType w:val="hybridMultilevel"/>
    <w:tmpl w:val="572A3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B557B"/>
    <w:multiLevelType w:val="hybridMultilevel"/>
    <w:tmpl w:val="4C64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0"/>
    <w:rsid w:val="00154987"/>
    <w:rsid w:val="00163A40"/>
    <w:rsid w:val="00233839"/>
    <w:rsid w:val="00432E15"/>
    <w:rsid w:val="004F2E5C"/>
    <w:rsid w:val="005A2011"/>
    <w:rsid w:val="00621745"/>
    <w:rsid w:val="00737B00"/>
    <w:rsid w:val="0084689D"/>
    <w:rsid w:val="00871775"/>
    <w:rsid w:val="00915730"/>
    <w:rsid w:val="00AA6ADF"/>
    <w:rsid w:val="00AD36CD"/>
    <w:rsid w:val="00B43A78"/>
    <w:rsid w:val="00B8051B"/>
    <w:rsid w:val="00C34140"/>
    <w:rsid w:val="00C617EF"/>
    <w:rsid w:val="00C91FDD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D30"/>
  <w15:chartTrackingRefBased/>
  <w15:docId w15:val="{4BF04570-093A-4ADB-83AB-AEC7982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00fdb6a89c6347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A33907023</value>
    </field>
    <field name="Objective-Title">
      <value order="0">Equality Impact Assessment Plan - subject level - for publication</value>
    </field>
    <field name="Objective-Description">
      <value order="0"/>
    </field>
    <field name="Objective-CreationStamp">
      <value order="0">2021-03-18T12:48:46Z</value>
    </field>
    <field name="Objective-IsApproved">
      <value order="0">false</value>
    </field>
    <field name="Objective-IsPublished">
      <value order="0">true</value>
    </field>
    <field name="Objective-DatePublished">
      <value order="0">2021-03-18T12:49:12Z</value>
    </field>
    <field name="Objective-ModificationStamp">
      <value order="0">2021-03-18T12:49:12Z</value>
    </field>
    <field name="Objective-Owner">
      <value order="0">Habberfield, Claire (EPS - EBPG)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Implications for Exams - Education - 2020:Hwb_Exemplification Materials_Resources_Videos</value>
    </field>
    <field name="Objective-Parent">
      <value order="0">Hwb_Exemplification Materials_Resources_Videos</value>
    </field>
    <field name="Objective-State">
      <value order="0">Published</value>
    </field>
    <field name="Objective-VersionId">
      <value order="0">vA67062051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qA1422528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Hughes</dc:creator>
  <cp:keywords/>
  <dc:description/>
  <cp:lastModifiedBy>Habberfield, Claire (EPS - EBPG)</cp:lastModifiedBy>
  <cp:revision>2</cp:revision>
  <dcterms:created xsi:type="dcterms:W3CDTF">2021-03-18T12:48:00Z</dcterms:created>
  <dcterms:modified xsi:type="dcterms:W3CDTF">2021-03-18T12:48:00Z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A33907023</vt:lpwstr>
  </property>
  <property fmtid="{D5CDD505-2E9C-101B-9397-08002B2CF9AE}" pid="4" name="Objective-Title">
    <vt:lpwstr>Equality Impact Assessment Plan - subject level - for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2021-03-18T12:48:53Z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2021-03-18T12:49:12Z</vt:filetime>
  </property>
  <property fmtid="{D5CDD505-2E9C-101B-9397-08002B2CF9AE}" pid="10" name="Objective-ModificationStamp">
    <vt:filetime>2021-03-18T12:49:12Z</vt:filetime>
  </property>
  <property fmtid="{D5CDD505-2E9C-101B-9397-08002B2CF9AE}" pid="11" name="Objective-Owner">
    <vt:lpwstr>Habberfield, Claire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Implications for Exams - Education - 2020:Hwb_Exemplification Materials_Resources_Videos:</vt:lpwstr>
  </property>
  <property fmtid="{D5CDD505-2E9C-101B-9397-08002B2CF9AE}" pid="13" name="Objective-Parent">
    <vt:lpwstr>Hwb_Exemplification Materials_Resources_Videos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vA67062051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2021-03-18T00:00:00Z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